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FICHA TÉCNICA</w:t>
      </w:r>
      <w:r w:rsidDel="00000000" w:rsidR="00000000" w:rsidRPr="00000000">
        <w:rPr>
          <w:rtl w:val="0"/>
        </w:rPr>
      </w:r>
    </w:p>
    <w:tbl>
      <w:tblPr>
        <w:tblStyle w:val="Table1"/>
        <w:tblW w:w="13920.0" w:type="dxa"/>
        <w:jc w:val="left"/>
        <w:tblInd w:w="-645.0" w:type="dxa"/>
        <w:tblLayout w:type="fixed"/>
        <w:tblLook w:val="0400"/>
      </w:tblPr>
      <w:tblGrid>
        <w:gridCol w:w="5745"/>
        <w:gridCol w:w="4305"/>
        <w:gridCol w:w="3870"/>
        <w:tblGridChange w:id="0">
          <w:tblGrid>
            <w:gridCol w:w="5745"/>
            <w:gridCol w:w="4305"/>
            <w:gridCol w:w="3870"/>
          </w:tblGrid>
        </w:tblGridChange>
      </w:tblGrid>
      <w:tr>
        <w:trPr>
          <w:cantSplit w:val="0"/>
          <w:trHeight w:val="523.6132812499999" w:hRule="atLeast"/>
          <w:tblHeader w:val="1"/>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w:t>
            </w:r>
          </w:p>
          <w:p w:rsidR="00000000" w:rsidDel="00000000" w:rsidP="00000000" w:rsidRDefault="00000000" w:rsidRPr="00000000" w14:paraId="00000005">
            <w:pPr>
              <w:widowControl w:val="0"/>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Portal Web Bolsa de Trabajo</w:t>
            </w:r>
          </w:p>
        </w:tc>
      </w:tr>
      <w:tr>
        <w:trPr>
          <w:cantSplit w:val="0"/>
          <w:trHeight w:val="55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9">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Ayuntamiento de Nezahualcóyotl</w:t>
            </w:r>
          </w:p>
        </w:tc>
      </w:tr>
      <w:tr>
        <w:trPr>
          <w:cantSplit w:val="0"/>
          <w:trHeight w:val="1020.419921874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D">
            <w:pPr>
              <w:spacing w:after="20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Fomento Económico y Turismo</w:t>
            </w:r>
            <w:r w:rsidDel="00000000" w:rsidR="00000000" w:rsidRPr="00000000">
              <w:rPr>
                <w:rtl w:val="0"/>
              </w:rPr>
            </w:r>
          </w:p>
        </w:tc>
      </w:tr>
      <w:tr>
        <w:trPr>
          <w:cantSplit w:val="0"/>
          <w:trHeight w:val="703.6132812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hyperlink r:id="rId7">
              <w:r w:rsidDel="00000000" w:rsidR="00000000" w:rsidRPr="00000000">
                <w:rPr>
                  <w:rFonts w:ascii="Palatino Linotype" w:cs="Palatino Linotype" w:eastAsia="Palatino Linotype" w:hAnsi="Palatino Linotype"/>
                  <w:b w:val="1"/>
                  <w:color w:val="1155cc"/>
                  <w:u w:val="single"/>
                  <w:rtl w:val="0"/>
                </w:rPr>
                <w:t xml:space="preserve">https://www.neza.gob.mx/bolsa_de_trabajo.php</w:t>
              </w:r>
            </w:hyperlink>
            <w:r w:rsidDel="00000000" w:rsidR="00000000" w:rsidRPr="00000000">
              <w:rPr>
                <w:rFonts w:ascii="Palatino Linotype" w:cs="Palatino Linotype" w:eastAsia="Palatino Linotype" w:hAnsi="Palatino Linotype"/>
                <w:b w:val="1"/>
                <w:rtl w:val="0"/>
              </w:rPr>
              <w:t xml:space="preserve"> </w:t>
            </w:r>
          </w:p>
        </w:tc>
      </w:tr>
      <w:tr>
        <w:trPr>
          <w:cantSplit w:val="0"/>
          <w:trHeight w:val="420"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 </w:t>
            </w:r>
            <w:r w:rsidDel="00000000" w:rsidR="00000000" w:rsidRPr="00000000">
              <w:rPr>
                <w:rFonts w:ascii="Palatino Linotype" w:cs="Palatino Linotype" w:eastAsia="Palatino Linotype" w:hAnsi="Palatino Linotype"/>
                <w:rtl w:val="0"/>
              </w:rPr>
              <w:t xml:space="preserve">Vigente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 </w:t>
            </w:r>
            <w:r w:rsidDel="00000000" w:rsidR="00000000" w:rsidRPr="00000000">
              <w:rPr>
                <w:rFonts w:ascii="Palatino Linotype" w:cs="Palatino Linotype" w:eastAsia="Palatino Linotype" w:hAnsi="Palatino Linotype"/>
                <w:rtl w:val="0"/>
              </w:rPr>
              <w:t xml:space="preserve">Municipal</w:t>
            </w:r>
            <w:r w:rsidDel="00000000" w:rsidR="00000000" w:rsidRPr="00000000">
              <w:rPr>
                <w:rtl w:val="0"/>
              </w:rPr>
            </w:r>
          </w:p>
        </w:tc>
      </w:tr>
      <w:tr>
        <w:trPr>
          <w:cantSplit w:val="0"/>
          <w:trHeight w:val="39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Estado de </w:t>
            </w:r>
            <w:r w:rsidDel="00000000" w:rsidR="00000000" w:rsidRPr="00000000">
              <w:rPr>
                <w:rFonts w:ascii="Palatino Linotype" w:cs="Palatino Linotype" w:eastAsia="Palatino Linotype" w:hAnsi="Palatino Linotype"/>
                <w:rtl w:val="0"/>
              </w:rPr>
              <w:t xml:space="preserve">México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 </w:t>
            </w:r>
            <w:r w:rsidDel="00000000" w:rsidR="00000000" w:rsidRPr="00000000">
              <w:rPr>
                <w:rFonts w:ascii="Palatino Linotype" w:cs="Palatino Linotype" w:eastAsia="Palatino Linotype" w:hAnsi="Palatino Linotype"/>
                <w:rtl w:val="0"/>
              </w:rPr>
              <w:t xml:space="preserve">0</w:t>
            </w:r>
            <w:r w:rsidDel="00000000" w:rsidR="00000000" w:rsidRPr="00000000">
              <w:rPr>
                <w:rtl w:val="0"/>
              </w:rPr>
            </w:r>
          </w:p>
        </w:tc>
      </w:tr>
    </w:tbl>
    <w:p w:rsidR="00000000" w:rsidDel="00000000" w:rsidP="00000000" w:rsidRDefault="00000000" w:rsidRPr="00000000" w14:paraId="00000019">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13800.0" w:type="dxa"/>
        <w:jc w:val="left"/>
        <w:tblInd w:w="-572.0" w:type="dxa"/>
        <w:tblLayout w:type="fixed"/>
        <w:tblLook w:val="0400"/>
      </w:tblPr>
      <w:tblGrid>
        <w:gridCol w:w="6435"/>
        <w:gridCol w:w="7365"/>
        <w:tblGridChange w:id="0">
          <w:tblGrid>
            <w:gridCol w:w="6435"/>
            <w:gridCol w:w="7365"/>
          </w:tblGrid>
        </w:tblGridChange>
      </w:tblGrid>
      <w:tr>
        <w:trPr>
          <w:cantSplit w:val="0"/>
          <w:trHeight w:val="6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B">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Portal Web en el cual se puede acceder después de requisitar datos, posteriormente se brinda la oferta de trabajo.</w:t>
            </w:r>
          </w:p>
        </w:tc>
      </w:tr>
      <w:tr>
        <w:trPr>
          <w:cantSplit w:val="0"/>
          <w:trHeight w:val="12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1E">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Transparentar, hacer de forma fácil, útil y efectiva las ofertas laborales.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la necesidad de empleo en toda la ciudadanía de Nezahualcoyotl.</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1">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p w:rsidR="00000000" w:rsidDel="00000000" w:rsidP="00000000" w:rsidRDefault="00000000" w:rsidRPr="00000000" w14:paraId="00000022">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solo es un sistema que requiere de registro previo, con ciertos horarios y  no genera información adicional, por ende no es posible evaluar conforme a los criterios establecidos en la normatividad vigente, en ese sentido la calificación de la propuesta es de 0 (cero).</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4">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 </w:t>
            </w:r>
          </w:p>
          <w:p w:rsidR="00000000" w:rsidDel="00000000" w:rsidP="00000000" w:rsidRDefault="00000000" w:rsidRPr="00000000" w14:paraId="00000025">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a generar acercamientos con la población objetivo, para detectar las necesidades de información y detonar la participación ciudadana, se recomienda que se implementen los atributos de calidad de la información (accesible, confiable, comprensible, oportuna, veraz, congruente, completa, actual, verificable y datos abiertos ), mecanismos de retroalimentación de las personas a las que va dirigida (por ejemplo: buzón de quejas y sugerencias, encuestas de satisfacción, etc.), medir el impacto de la información publicada mediante contador de visitas o listas de asistencias, para detectar el aprovechamiento de los contenidos y los beneficios obtenidos a partir de la publicación de la información y darla a conocer mediante medios de difusión afines a las personas a las que se dirige.</w:t>
            </w:r>
          </w:p>
        </w:tc>
      </w:tr>
    </w:tbl>
    <w:p w:rsidR="00000000" w:rsidDel="00000000" w:rsidP="00000000" w:rsidRDefault="00000000" w:rsidRPr="00000000" w14:paraId="00000027">
      <w:pPr>
        <w:spacing w:after="0" w:line="240" w:lineRule="auto"/>
        <w:ind w:left="-708" w:firstLine="0"/>
        <w:jc w:val="center"/>
        <w:rPr>
          <w:rFonts w:ascii="Palatino Linotype" w:cs="Palatino Linotype" w:eastAsia="Palatino Linotype" w:hAnsi="Palatino Linotype"/>
          <w:b w:val="1"/>
        </w:rPr>
      </w:pPr>
      <w:bookmarkStart w:colFirst="0" w:colLast="0" w:name="_heading=h.ec6kv8abl8v0" w:id="1"/>
      <w:bookmarkEnd w:id="1"/>
      <w:r w:rsidDel="00000000" w:rsidR="00000000" w:rsidRPr="00000000">
        <w:rPr>
          <w:rtl w:val="0"/>
        </w:rPr>
      </w:r>
    </w:p>
    <w:p w:rsidR="00000000" w:rsidDel="00000000" w:rsidP="00000000" w:rsidRDefault="00000000" w:rsidRPr="00000000" w14:paraId="00000028">
      <w:pPr>
        <w:spacing w:after="0" w:line="240" w:lineRule="auto"/>
        <w:ind w:left="-708" w:firstLine="0"/>
        <w:jc w:val="center"/>
        <w:rPr>
          <w:rFonts w:ascii="Palatino Linotype" w:cs="Palatino Linotype" w:eastAsia="Palatino Linotype" w:hAnsi="Palatino Linotype"/>
          <w:b w:val="1"/>
        </w:rPr>
      </w:pPr>
      <w:bookmarkStart w:colFirst="0" w:colLast="0" w:name="_heading=h.jryol29zzr1u" w:id="2"/>
      <w:bookmarkEnd w:id="2"/>
      <w:r w:rsidDel="00000000" w:rsidR="00000000" w:rsidRPr="00000000">
        <w:rPr>
          <w:rtl w:val="0"/>
        </w:rPr>
      </w:r>
    </w:p>
    <w:p w:rsidR="00000000" w:rsidDel="00000000" w:rsidP="00000000" w:rsidRDefault="00000000" w:rsidRPr="00000000" w14:paraId="00000029">
      <w:pPr>
        <w:spacing w:after="0" w:line="240" w:lineRule="auto"/>
        <w:ind w:left="-708" w:firstLine="0"/>
        <w:jc w:val="center"/>
        <w:rPr>
          <w:rFonts w:ascii="Palatino Linotype" w:cs="Palatino Linotype" w:eastAsia="Palatino Linotype" w:hAnsi="Palatino Linotype"/>
          <w:b w:val="1"/>
        </w:rPr>
      </w:pPr>
      <w:bookmarkStart w:colFirst="0" w:colLast="0" w:name="_heading=h.y2fdnbofth29" w:id="3"/>
      <w:bookmarkEnd w:id="3"/>
      <w:r w:rsidDel="00000000" w:rsidR="00000000" w:rsidRPr="00000000">
        <w:rPr>
          <w:rtl w:val="0"/>
        </w:rPr>
      </w:r>
    </w:p>
    <w:p w:rsidR="00000000" w:rsidDel="00000000" w:rsidP="00000000" w:rsidRDefault="00000000" w:rsidRPr="00000000" w14:paraId="0000002A">
      <w:pPr>
        <w:jc w:val="both"/>
        <w:rPr>
          <w:rFonts w:ascii="Arial" w:cs="Arial" w:eastAsia="Arial" w:hAnsi="Arial"/>
        </w:rPr>
      </w:pPr>
      <w:bookmarkStart w:colFirst="0" w:colLast="0" w:name="_heading=h.1fob9te" w:id="4"/>
      <w:bookmarkEnd w:id="4"/>
      <w:r w:rsidDel="00000000" w:rsidR="00000000" w:rsidRPr="00000000">
        <w:rPr>
          <w:rtl w:val="0"/>
        </w:rPr>
      </w:r>
    </w:p>
    <w:sectPr>
      <w:headerReference r:id="rId8" w:type="default"/>
      <w:footerReference r:id="rId9" w:type="default"/>
      <w:pgSz w:h="12240" w:w="15840" w:orient="landscape"/>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350" name="image1.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1.png"/>
                  <pic:cNvPicPr preferRelativeResize="0"/>
                </pic:nvPicPr>
                <pic:blipFill>
                  <a:blip r:embed="rId1"/>
                  <a:srcRect b="25361" l="27472" r="25000" t="5796"/>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-1065837</wp:posOffset>
          </wp:positionH>
          <wp:positionV relativeFrom="paragraph">
            <wp:posOffset>-180327</wp:posOffset>
          </wp:positionV>
          <wp:extent cx="10048875" cy="7768272"/>
          <wp:effectExtent b="0" l="0" r="0" t="0"/>
          <wp:wrapNone/>
          <wp:docPr descr="Imagen que contiene Gráfico de superficie&#10;&#10;Descripción generada automáticamente" id="349" name="image2.png"/>
          <a:graphic>
            <a:graphicData uri="http://schemas.openxmlformats.org/drawingml/2006/picture">
              <pic:pic>
                <pic:nvPicPr>
                  <pic:cNvPr descr="Imagen que contiene Gráfico de superficie&#10;&#10;Descripción generada automáticamente" id="0" name="image2.png"/>
                  <pic:cNvPicPr preferRelativeResize="0"/>
                </pic:nvPicPr>
                <pic:blipFill>
                  <a:blip r:embed="rId2"/>
                  <a:srcRect b="0" l="0" r="0" t="0"/>
                  <a:stretch>
                    <a:fillRect/>
                  </a:stretch>
                </pic:blipFill>
                <pic:spPr>
                  <a:xfrm>
                    <a:off x="0" y="0"/>
                    <a:ext cx="10048875" cy="77682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za.gob.mx/bolsa_de_trabajo.php"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bdKA3/vTypI0waBYaqVVR+Nqw==">CgMxLjAyCWguMzBqMHpsbDIOaC5lYzZrdjhhYmw4djAyDmguanJ5b2wyOXp6cjF1Mg5oLnkyZmRuYm9mdGgyOTIJaC4xZm9iOXRlOAByITFrcGN3alJOMWM5a1h5b0J0ZXc3Y2dmUEZoRjhvcXlJSg==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